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FB8"/>
          <w:sz w:val="18"/>
        </w:rPr>
        <w:t>STANDARD OPERATING PROCEDURE</w:t>
      </w:r>
    </w:p>
    <w:p>
      <w:pPr>
        <w:pStyle w:val="Title"/>
        <w:spacing w:after="200"/>
      </w:pPr>
      <w:r>
        <w:t>How to conduct an employee exit interview</w:t>
      </w:r>
    </w:p>
    <w:tbl>
      <w:tblPr>
        <w:tblStyle w:val="TableGrid"/>
        <w:tblW w:type="auto" w:w="0"/>
        <w:tblLook w:firstColumn="1" w:firstRow="1" w:lastColumn="0" w:lastRow="0" w:noHBand="0" w:noVBand="1" w:val="04A0"/>
      </w:tblPr>
      <w:tblGrid>
        <w:gridCol w:w="4824"/>
        <w:gridCol w:w="4824"/>
      </w:tblGrid>
      <w:tr>
        <w:tc>
          <w:tcPr>
            <w:tcW w:type="dxa" w:w="2736"/>
            <w:shd w:val="clear" w:fill="EEF4FA"/>
          </w:tcPr>
          <w:p>
            <w:r/>
            <w:r>
              <w:rPr>
                <w:b/>
                <w:sz w:val="20"/>
              </w:rPr>
              <w:t>Document owner</w:t>
            </w:r>
          </w:p>
        </w:tc>
        <w:tc>
          <w:tcPr>
            <w:tcW w:type="dxa" w:w="6336"/>
          </w:tcPr>
          <w:p>
            <w:r/>
            <w:r>
              <w:rPr>
                <w:b w:val="0"/>
                <w:sz w:val="20"/>
              </w:rPr>
            </w:r>
          </w:p>
        </w:tc>
      </w:tr>
      <w:tr>
        <w:tc>
          <w:tcPr>
            <w:tcW w:type="dxa" w:w="2736"/>
            <w:shd w:val="clear" w:fill="EEF4FA"/>
          </w:tcPr>
          <w:p>
            <w:r/>
            <w:r>
              <w:rPr>
                <w:b/>
                <w:sz w:val="20"/>
              </w:rPr>
              <w:t>Process owner</w:t>
            </w:r>
          </w:p>
        </w:tc>
        <w:tc>
          <w:tcPr>
            <w:tcW w:type="dxa" w:w="6336"/>
          </w:tcPr>
          <w:p>
            <w:r/>
            <w:r>
              <w:rPr>
                <w:b w:val="0"/>
                <w:sz w:val="20"/>
              </w:rPr>
            </w:r>
          </w:p>
        </w:tc>
      </w:tr>
      <w:tr>
        <w:tc>
          <w:tcPr>
            <w:tcW w:type="dxa" w:w="2736"/>
            <w:shd w:val="clear" w:fill="EEF4FA"/>
          </w:tcPr>
          <w:p>
            <w:r/>
            <w:r>
              <w:rPr>
                <w:b/>
                <w:sz w:val="20"/>
              </w:rPr>
              <w:t>Version</w:t>
            </w:r>
          </w:p>
        </w:tc>
        <w:tc>
          <w:tcPr>
            <w:tcW w:type="dxa" w:w="6336"/>
          </w:tcPr>
          <w:p>
            <w:r/>
            <w:r>
              <w:rPr>
                <w:b w:val="0"/>
                <w:sz w:val="20"/>
              </w:rPr>
              <w:t>1.0</w:t>
            </w:r>
          </w:p>
        </w:tc>
      </w:tr>
      <w:tr>
        <w:tc>
          <w:tcPr>
            <w:tcW w:type="dxa" w:w="2736"/>
            <w:shd w:val="clear" w:fill="EEF4FA"/>
          </w:tcPr>
          <w:p>
            <w:r/>
            <w:r>
              <w:rPr>
                <w:b/>
                <w:sz w:val="20"/>
              </w:rPr>
              <w:t>Effective date</w:t>
            </w:r>
          </w:p>
        </w:tc>
        <w:tc>
          <w:tcPr>
            <w:tcW w:type="dxa" w:w="6336"/>
          </w:tcPr>
          <w:p>
            <w:r/>
            <w:r>
              <w:rPr>
                <w:b w:val="0"/>
                <w:sz w:val="20"/>
              </w:rPr>
            </w:r>
          </w:p>
        </w:tc>
      </w:tr>
      <w:tr>
        <w:tc>
          <w:tcPr>
            <w:tcW w:type="dxa" w:w="2736"/>
            <w:shd w:val="clear" w:fill="EEF4FA"/>
          </w:tcPr>
          <w:p>
            <w:r/>
            <w:r>
              <w:rPr>
                <w:b/>
                <w:sz w:val="20"/>
              </w:rPr>
              <w:t>Last reviewed</w:t>
            </w:r>
          </w:p>
        </w:tc>
        <w:tc>
          <w:tcPr>
            <w:tcW w:type="dxa" w:w="6336"/>
          </w:tcPr>
          <w:p>
            <w:r/>
            <w:r>
              <w:rPr>
                <w:b w:val="0"/>
                <w:sz w:val="20"/>
              </w:rPr>
            </w:r>
          </w:p>
        </w:tc>
      </w:tr>
      <w:tr>
        <w:tc>
          <w:tcPr>
            <w:tcW w:type="dxa" w:w="2736"/>
            <w:shd w:val="clear" w:fill="EEF4FA"/>
          </w:tcPr>
          <w:p>
            <w:r/>
            <w:r>
              <w:rPr>
                <w:b/>
                <w:sz w:val="20"/>
              </w:rPr>
              <w:t>Next review due</w:t>
            </w:r>
          </w:p>
        </w:tc>
        <w:tc>
          <w:tcPr>
            <w:tcW w:type="dxa" w:w="6336"/>
          </w:tcPr>
          <w:p>
            <w:r/>
            <w:r>
              <w:rPr>
                <w:b w:val="0"/>
                <w:sz w:val="20"/>
              </w:rPr>
            </w:r>
          </w:p>
        </w:tc>
      </w:tr>
      <w:tr>
        <w:tc>
          <w:tcPr>
            <w:tcW w:type="dxa" w:w="2736"/>
            <w:shd w:val="clear" w:fill="EEF4FA"/>
          </w:tcPr>
          <w:p>
            <w:r/>
            <w:r>
              <w:rPr>
                <w:b/>
                <w:sz w:val="20"/>
              </w:rPr>
              <w:t>Approved by</w:t>
            </w:r>
          </w:p>
        </w:tc>
        <w:tc>
          <w:tcPr>
            <w:tcW w:type="dxa" w:w="6336"/>
          </w:tcPr>
          <w:p>
            <w:r/>
            <w:r>
              <w:rPr>
                <w:b w:val="0"/>
                <w:sz w:val="20"/>
              </w:rPr>
            </w:r>
          </w:p>
        </w:tc>
      </w:tr>
    </w:tbl>
    <w:p>
      <w:pPr>
        <w:spacing w:after="80"/>
      </w:pPr>
    </w:p>
    <w:p>
      <w:pPr>
        <w:pStyle w:val="Heading1"/>
        <w:spacing w:before="320" w:after="120"/>
      </w:pPr>
      <w:r>
        <w:rPr>
          <w:b/>
          <w:color w:val="0B6FB8"/>
          <w:sz w:val="22"/>
        </w:rPr>
        <w:t>PURPOSE</w:t>
      </w:r>
    </w:p>
    <w:p>
      <w:r>
        <w:t>This SOP outlines the process for conducting an employee exit interview at WorkFlawless. The purpose of the exit interview is to gather valuable feedback from departing employees, understand their reasons for leaving, and identify areas for organizational improvement. This process helps in maintaining a positive relationship with former employees and ensuring compliance with company policies.</w:t>
      </w:r>
    </w:p>
    <w:p>
      <w:pPr>
        <w:pStyle w:val="Heading1"/>
        <w:spacing w:before="320" w:after="120"/>
      </w:pPr>
      <w:r>
        <w:rPr>
          <w:b/>
          <w:color w:val="0B6FB8"/>
          <w:sz w:val="22"/>
        </w:rPr>
        <w:t>SCOPE</w:t>
      </w:r>
    </w:p>
    <w:p>
      <w:r>
        <w:rPr>
          <w:i/>
          <w:color w:val="8A97A8"/>
          <w:sz w:val="20"/>
        </w:rPr>
        <w:t>[This procedure applies to: the teams or job titles that carry it out.] It covers [the event that starts it] through to [the outcome that ends it]. It does not cover [anything handled by a separate procedure].</w:t>
      </w:r>
    </w:p>
    <w:p>
      <w:pPr>
        <w:pStyle w:val="Heading1"/>
        <w:spacing w:before="320" w:after="120"/>
      </w:pPr>
      <w:r>
        <w:rPr>
          <w:b/>
          <w:color w:val="0B6FB8"/>
          <w:sz w:val="22"/>
        </w:rPr>
        <w:t>PROCEDURE</w:t>
      </w:r>
    </w:p>
    <w:tbl>
      <w:tblPr>
        <w:tblStyle w:val="TableGrid"/>
        <w:tblW w:type="auto" w:w="0"/>
        <w:tblLook w:firstColumn="1" w:firstRow="1" w:lastColumn="0" w:lastRow="0" w:noHBand="0" w:noVBand="1" w:val="04A0"/>
      </w:tblPr>
      <w:tblGrid>
        <w:gridCol w:w="3216"/>
        <w:gridCol w:w="3216"/>
        <w:gridCol w:w="3216"/>
      </w:tblGrid>
      <w:tr>
        <w:tc>
          <w:tcPr>
            <w:tcW w:type="dxa" w:w="720"/>
            <w:shd w:val="clear" w:fill="EEF4FA"/>
          </w:tcPr>
          <w:p>
            <w:r/>
            <w:r>
              <w:rPr>
                <w:b/>
                <w:sz w:val="20"/>
              </w:rPr>
              <w:t>#</w:t>
            </w:r>
          </w:p>
        </w:tc>
        <w:tc>
          <w:tcPr>
            <w:tcW w:type="dxa" w:w="5760"/>
            <w:shd w:val="clear" w:fill="EEF4FA"/>
          </w:tcPr>
          <w:p>
            <w:r/>
            <w:r>
              <w:rPr>
                <w:b/>
                <w:sz w:val="20"/>
              </w:rPr>
              <w:t>What happens</w:t>
            </w:r>
          </w:p>
        </w:tc>
        <w:tc>
          <w:tcPr>
            <w:tcW w:type="dxa" w:w="2592"/>
            <w:shd w:val="clear" w:fill="EEF4FA"/>
          </w:tcPr>
          <w:p>
            <w:r/>
            <w:r>
              <w:rPr>
                <w:b/>
                <w:sz w:val="20"/>
              </w:rPr>
              <w:t>Who is responsible</w:t>
            </w:r>
          </w:p>
        </w:tc>
      </w:tr>
      <w:tr>
        <w:tc>
          <w:tcPr>
            <w:tcW w:type="dxa" w:w="720"/>
          </w:tcPr>
          <w:p>
            <w:r/>
            <w:r>
              <w:rPr>
                <w:b/>
                <w:sz w:val="20"/>
              </w:rPr>
              <w:t>1</w:t>
            </w:r>
          </w:p>
        </w:tc>
        <w:tc>
          <w:tcPr>
            <w:tcW w:type="dxa" w:w="5760"/>
          </w:tcPr>
          <w:p>
            <w:r/>
            <w:r>
              <w:rPr>
                <w:b/>
                <w:sz w:val="21"/>
              </w:rPr>
              <w:t>Schedule The Exit Interview</w:t>
            </w:r>
          </w:p>
          <w:p>
            <w:r>
              <w:t>HR should contact the departing employee to schedule the exit interview at least one week before their last working day. Ensure that the timing is convenient for the employee and allows for a private setting. This step is crucial to ensure the employee feels comfortable and prepared to provide honest feedback.</w:t>
            </w:r>
          </w:p>
        </w:tc>
        <w:tc>
          <w:tcPr>
            <w:tcW w:type="dxa" w:w="2592"/>
          </w:tcPr>
          <w:p>
            <w:r/>
            <w:r>
              <w:rPr>
                <w:b w:val="0"/>
                <w:sz w:val="20"/>
              </w:rPr>
            </w:r>
          </w:p>
        </w:tc>
      </w:tr>
      <w:tr>
        <w:tc>
          <w:tcPr>
            <w:tcW w:type="dxa" w:w="720"/>
          </w:tcPr>
          <w:p>
            <w:r/>
            <w:r>
              <w:rPr>
                <w:b/>
                <w:sz w:val="20"/>
              </w:rPr>
              <w:t>2</w:t>
            </w:r>
          </w:p>
        </w:tc>
        <w:tc>
          <w:tcPr>
            <w:tcW w:type="dxa" w:w="5760"/>
          </w:tcPr>
          <w:p>
            <w:r/>
            <w:r>
              <w:rPr>
                <w:b/>
                <w:sz w:val="21"/>
              </w:rPr>
              <w:t>Prepare For The Interview</w:t>
            </w:r>
          </w:p>
          <w:p>
            <w:r>
              <w:t>Review the employee's file and any previous feedback they have provided. Prepare a list of standard questions, as well as any specific questions relevant to the employee's role or department. Ensure that all materials needed for the interview, such as a notepad or digital recording device (if applicable), are ready. This preparation helps in conducting a focused and productive interview.</w:t>
            </w:r>
          </w:p>
        </w:tc>
        <w:tc>
          <w:tcPr>
            <w:tcW w:type="dxa" w:w="2592"/>
          </w:tcPr>
          <w:p>
            <w:r/>
            <w:r>
              <w:rPr>
                <w:b w:val="0"/>
                <w:sz w:val="20"/>
              </w:rPr>
            </w:r>
          </w:p>
        </w:tc>
      </w:tr>
      <w:tr>
        <w:tc>
          <w:tcPr>
            <w:tcW w:type="dxa" w:w="720"/>
          </w:tcPr>
          <w:p>
            <w:r/>
            <w:r>
              <w:rPr>
                <w:b/>
                <w:sz w:val="20"/>
              </w:rPr>
              <w:t>3</w:t>
            </w:r>
          </w:p>
        </w:tc>
        <w:tc>
          <w:tcPr>
            <w:tcW w:type="dxa" w:w="5760"/>
          </w:tcPr>
          <w:p>
            <w:r/>
            <w:r>
              <w:rPr>
                <w:b/>
                <w:sz w:val="21"/>
              </w:rPr>
              <w:t>Conduct The Interview</w:t>
            </w:r>
          </w:p>
          <w:p>
            <w:r>
              <w:t>Begin the interview by thanking the employee for their service and explaining the purpose of the interview. Use open-ended questions to encourage detailed responses. Listen actively and take notes. Ensure the employee understands that their feedback is valued and will be used to improve the workplace. Maintain a professional and empathetic demeanor throughout the interview.</w:t>
            </w:r>
          </w:p>
        </w:tc>
        <w:tc>
          <w:tcPr>
            <w:tcW w:type="dxa" w:w="2592"/>
          </w:tcPr>
          <w:p>
            <w:r/>
            <w:r>
              <w:rPr>
                <w:b w:val="0"/>
                <w:sz w:val="20"/>
              </w:rPr>
            </w:r>
          </w:p>
        </w:tc>
      </w:tr>
      <w:tr>
        <w:tc>
          <w:tcPr>
            <w:tcW w:type="dxa" w:w="720"/>
          </w:tcPr>
          <w:p>
            <w:r/>
            <w:r>
              <w:rPr>
                <w:b/>
                <w:sz w:val="20"/>
              </w:rPr>
              <w:t>4</w:t>
            </w:r>
          </w:p>
        </w:tc>
        <w:tc>
          <w:tcPr>
            <w:tcW w:type="dxa" w:w="5760"/>
          </w:tcPr>
          <w:p>
            <w:r/>
            <w:r>
              <w:rPr>
                <w:b/>
                <w:sz w:val="21"/>
              </w:rPr>
              <w:t>Discuss Confidentiality</w:t>
            </w:r>
          </w:p>
          <w:p>
            <w:r>
              <w:t>Reassure the employee that their responses will be kept confidential and will only be used for internal improvements. Explain any limitations to confidentiality, such as legal obligations to report certain information. This step is important to build trust and encourage candid feedback.</w:t>
            </w:r>
          </w:p>
        </w:tc>
        <w:tc>
          <w:tcPr>
            <w:tcW w:type="dxa" w:w="2592"/>
          </w:tcPr>
          <w:p>
            <w:r/>
            <w:r>
              <w:rPr>
                <w:b w:val="0"/>
                <w:sz w:val="20"/>
              </w:rPr>
            </w:r>
          </w:p>
        </w:tc>
      </w:tr>
      <w:tr>
        <w:tc>
          <w:tcPr>
            <w:tcW w:type="dxa" w:w="720"/>
          </w:tcPr>
          <w:p>
            <w:r/>
            <w:r>
              <w:rPr>
                <w:b/>
                <w:sz w:val="20"/>
              </w:rPr>
              <w:t>5</w:t>
            </w:r>
          </w:p>
        </w:tc>
        <w:tc>
          <w:tcPr>
            <w:tcW w:type="dxa" w:w="5760"/>
          </w:tcPr>
          <w:p>
            <w:r/>
            <w:r>
              <w:rPr>
                <w:b/>
                <w:sz w:val="21"/>
              </w:rPr>
              <w:t>Address Specific Topics</w:t>
            </w:r>
          </w:p>
          <w:p>
            <w:r>
              <w:t>Cover key topics such as the employee's reasons for leaving, their experience with management, work environment, and any suggestions for improvement. Ask about their future plans to understand if there are industry trends affecting retention. This comprehensive approach helps in identifying systemic issues and potential areas for development.</w:t>
            </w:r>
          </w:p>
        </w:tc>
        <w:tc>
          <w:tcPr>
            <w:tcW w:type="dxa" w:w="2592"/>
          </w:tcPr>
          <w:p>
            <w:r/>
            <w:r>
              <w:rPr>
                <w:b w:val="0"/>
                <w:sz w:val="20"/>
              </w:rPr>
            </w:r>
          </w:p>
        </w:tc>
      </w:tr>
      <w:tr>
        <w:tc>
          <w:tcPr>
            <w:tcW w:type="dxa" w:w="720"/>
          </w:tcPr>
          <w:p>
            <w:r/>
            <w:r>
              <w:rPr>
                <w:b/>
                <w:sz w:val="20"/>
              </w:rPr>
              <w:t>6</w:t>
            </w:r>
          </w:p>
        </w:tc>
        <w:tc>
          <w:tcPr>
            <w:tcW w:type="dxa" w:w="5760"/>
          </w:tcPr>
          <w:p>
            <w:r/>
            <w:r>
              <w:rPr>
                <w:b/>
                <w:sz w:val="21"/>
              </w:rPr>
              <w:t>Conclude The Interview</w:t>
            </w:r>
          </w:p>
          <w:p>
            <w:r>
              <w:t>Summarize the key points discussed and thank the employee for their feedback. Provide them with an opportunity to ask questions or add any final comments. Inform them of the next steps regarding their feedback and any follow-up they can expect. Ensure a positive closure to the interview.</w:t>
            </w:r>
          </w:p>
        </w:tc>
        <w:tc>
          <w:tcPr>
            <w:tcW w:type="dxa" w:w="2592"/>
          </w:tcPr>
          <w:p>
            <w:r/>
            <w:r>
              <w:rPr>
                <w:b w:val="0"/>
                <w:sz w:val="20"/>
              </w:rPr>
            </w:r>
          </w:p>
        </w:tc>
      </w:tr>
      <w:tr>
        <w:tc>
          <w:tcPr>
            <w:tcW w:type="dxa" w:w="720"/>
          </w:tcPr>
          <w:p>
            <w:r/>
            <w:r>
              <w:rPr>
                <w:b/>
                <w:sz w:val="20"/>
              </w:rPr>
              <w:t>7</w:t>
            </w:r>
          </w:p>
        </w:tc>
        <w:tc>
          <w:tcPr>
            <w:tcW w:type="dxa" w:w="5760"/>
          </w:tcPr>
          <w:p>
            <w:r/>
            <w:r>
              <w:rPr>
                <w:b/>
                <w:sz w:val="21"/>
              </w:rPr>
              <w:t>Document The Interview</w:t>
            </w:r>
          </w:p>
          <w:p>
            <w:r>
              <w:t>Immediately after the interview, document the key points and feedback provided by the employee. Use a standardized format to ensure consistency and ease of analysis. This documentation is critical for tracking trends and implementing improvements.</w:t>
            </w:r>
          </w:p>
        </w:tc>
        <w:tc>
          <w:tcPr>
            <w:tcW w:type="dxa" w:w="2592"/>
          </w:tcPr>
          <w:p>
            <w:r/>
            <w:r>
              <w:rPr>
                <w:b w:val="0"/>
                <w:sz w:val="20"/>
              </w:rPr>
            </w:r>
          </w:p>
        </w:tc>
      </w:tr>
      <w:tr>
        <w:tc>
          <w:tcPr>
            <w:tcW w:type="dxa" w:w="720"/>
          </w:tcPr>
          <w:p>
            <w:r/>
            <w:r>
              <w:rPr>
                <w:b/>
                <w:sz w:val="20"/>
              </w:rPr>
              <w:t>8</w:t>
            </w:r>
          </w:p>
        </w:tc>
        <w:tc>
          <w:tcPr>
            <w:tcW w:type="dxa" w:w="5760"/>
          </w:tcPr>
          <w:p>
            <w:r/>
            <w:r>
              <w:rPr>
                <w:b/>
                <w:sz w:val="21"/>
              </w:rPr>
              <w:t>Analyze And Report Findings</w:t>
            </w:r>
          </w:p>
          <w:p>
            <w:r>
              <w:t>Regularly analyze exit interview data to identify patterns and areas for improvement. Prepare reports for management with actionable insights and recommendations. Ensure that trends are communicated to relevant departments for further action. This step is essential for leveraging feedback to drive organizational change.</w:t>
            </w:r>
          </w:p>
        </w:tc>
        <w:tc>
          <w:tcPr>
            <w:tcW w:type="dxa" w:w="2592"/>
          </w:tcPr>
          <w:p>
            <w:r/>
            <w:r>
              <w:rPr>
                <w:b w:val="0"/>
                <w:sz w:val="20"/>
              </w:rPr>
            </w:r>
          </w:p>
        </w:tc>
      </w:tr>
      <w:tr>
        <w:tc>
          <w:tcPr>
            <w:tcW w:type="dxa" w:w="720"/>
          </w:tcPr>
          <w:p>
            <w:r/>
            <w:r>
              <w:rPr>
                <w:b/>
                <w:sz w:val="20"/>
              </w:rPr>
              <w:t>9</w:t>
            </w:r>
          </w:p>
        </w:tc>
        <w:tc>
          <w:tcPr>
            <w:tcW w:type="dxa" w:w="5760"/>
          </w:tcPr>
          <w:p>
            <w:r/>
            <w:r>
              <w:rPr>
                <w:b/>
                <w:sz w:val="21"/>
              </w:rPr>
              <w:t>Implement Improvements</w:t>
            </w:r>
          </w:p>
          <w:p>
            <w:r>
              <w:t>Work with relevant departments to implement changes based on exit interview feedback. Track the effectiveness of these changes and continue to adjust strategies as needed. This ongoing process helps in creating a better work environment and reducing employee turnover.</w:t>
            </w:r>
          </w:p>
        </w:tc>
        <w:tc>
          <w:tcPr>
            <w:tcW w:type="dxa" w:w="2592"/>
          </w:tcPr>
          <w:p>
            <w:r/>
            <w:r>
              <w:rPr>
                <w:b w:val="0"/>
                <w:sz w:val="20"/>
              </w:rPr>
            </w:r>
          </w:p>
        </w:tc>
      </w:tr>
      <w:tr>
        <w:tc>
          <w:tcPr>
            <w:tcW w:type="dxa" w:w="720"/>
          </w:tcPr>
          <w:p>
            <w:r/>
            <w:r>
              <w:rPr>
                <w:b/>
                <w:sz w:val="20"/>
              </w:rPr>
              <w:t>10</w:t>
            </w:r>
          </w:p>
        </w:tc>
        <w:tc>
          <w:tcPr>
            <w:tcW w:type="dxa" w:w="5760"/>
          </w:tcPr>
          <w:p>
            <w:r/>
            <w:r>
              <w:rPr>
                <w:b/>
                <w:sz w:val="21"/>
              </w:rPr>
              <w:t>Follow-Up</w:t>
            </w:r>
          </w:p>
          <w:p>
            <w:r>
              <w:t>If appropriate, follow up with the former employee to inform them of any changes made as a result of their feedback. This step helps in maintaining a positive relationship and reinforces the value of their input.</w:t>
            </w:r>
          </w:p>
        </w:tc>
        <w:tc>
          <w:tcPr>
            <w:tcW w:type="dxa" w:w="2592"/>
          </w:tcPr>
          <w:p>
            <w:r/>
            <w:r>
              <w:rPr>
                <w:b w:val="0"/>
                <w:sz w:val="20"/>
              </w:rPr>
            </w:r>
          </w:p>
        </w:tc>
      </w:tr>
    </w:tbl>
    <w:p>
      <w:pPr>
        <w:pStyle w:val="Heading1"/>
        <w:spacing w:before="320" w:after="120"/>
      </w:pPr>
      <w:r>
        <w:rPr>
          <w:b/>
          <w:color w:val="0B6FB8"/>
          <w:sz w:val="22"/>
        </w:rPr>
        <w:t>RECORDS</w:t>
      </w:r>
    </w:p>
    <w:p>
      <w:r>
        <w:rPr>
          <w:i/>
          <w:color w:val="8A97A8"/>
          <w:sz w:val="20"/>
        </w:rPr>
        <w:t>Produces [the record this procedure creates], kept in [where it is stored], retained for [how long].</w:t>
      </w:r>
    </w:p>
    <w:p>
      <w:pPr>
        <w:pStyle w:val="Heading1"/>
        <w:spacing w:before="320" w:after="120"/>
      </w:pPr>
      <w:r>
        <w:rPr>
          <w:b/>
          <w:color w:val="0B6FB8"/>
          <w:sz w:val="22"/>
        </w:rPr>
        <w:t>REVISION HISTORY</w:t>
      </w:r>
    </w:p>
    <w:tbl>
      <w:tblPr>
        <w:tblStyle w:val="TableGrid"/>
        <w:tblW w:type="auto" w:w="0"/>
        <w:tblLook w:firstColumn="1" w:firstRow="1" w:lastColumn="0" w:lastRow="0" w:noHBand="0" w:noVBand="1" w:val="04A0"/>
      </w:tblPr>
      <w:tblGrid>
        <w:gridCol w:w="2412"/>
        <w:gridCol w:w="2412"/>
        <w:gridCol w:w="2412"/>
        <w:gridCol w:w="2412"/>
      </w:tblGrid>
      <w:tr>
        <w:tc>
          <w:tcPr>
            <w:tcW w:type="dxa" w:w="1296"/>
            <w:shd w:val="clear" w:fill="EEF4FA"/>
          </w:tcPr>
          <w:p>
            <w:r/>
            <w:r>
              <w:rPr>
                <w:b/>
                <w:sz w:val="20"/>
              </w:rPr>
              <w:t>Version</w:t>
            </w:r>
          </w:p>
        </w:tc>
        <w:tc>
          <w:tcPr>
            <w:tcW w:type="dxa" w:w="1728"/>
            <w:shd w:val="clear" w:fill="EEF4FA"/>
          </w:tcPr>
          <w:p>
            <w:r/>
            <w:r>
              <w:rPr>
                <w:b/>
                <w:sz w:val="20"/>
              </w:rPr>
              <w:t>Date</w:t>
            </w:r>
          </w:p>
        </w:tc>
        <w:tc>
          <w:tcPr>
            <w:tcW w:type="dxa" w:w="2592"/>
            <w:shd w:val="clear" w:fill="EEF4FA"/>
          </w:tcPr>
          <w:p>
            <w:r/>
            <w:r>
              <w:rPr>
                <w:b/>
                <w:sz w:val="20"/>
              </w:rPr>
              <w:t>Changed by</w:t>
            </w:r>
          </w:p>
        </w:tc>
        <w:tc>
          <w:tcPr>
            <w:tcW w:type="dxa" w:w="3456"/>
            <w:shd w:val="clear" w:fill="EEF4FA"/>
          </w:tcPr>
          <w:p>
            <w:r/>
            <w:r>
              <w:rPr>
                <w:b/>
                <w:sz w:val="20"/>
              </w:rPr>
              <w:t>What changed</w:t>
            </w:r>
          </w:p>
        </w:tc>
      </w:tr>
      <w:tr>
        <w:tc>
          <w:tcPr>
            <w:tcW w:type="dxa" w:w="2412"/>
          </w:tcPr>
          <w:p>
            <w:r/>
            <w:r>
              <w:rPr>
                <w:b w:val="0"/>
                <w:sz w:val="20"/>
              </w:rPr>
              <w:t>1.0</w:t>
            </w:r>
          </w:p>
        </w:tc>
        <w:tc>
          <w:tcPr>
            <w:tcW w:type="dxa" w:w="2412"/>
          </w:tcPr>
          <w:p>
            <w:r/>
            <w:r>
              <w:rPr>
                <w:b w:val="0"/>
                <w:sz w:val="20"/>
              </w:rPr>
            </w:r>
          </w:p>
        </w:tc>
        <w:tc>
          <w:tcPr>
            <w:tcW w:type="dxa" w:w="2412"/>
          </w:tcPr>
          <w:p>
            <w:r/>
            <w:r>
              <w:rPr>
                <w:b w:val="0"/>
                <w:sz w:val="20"/>
              </w:rPr>
            </w:r>
          </w:p>
        </w:tc>
        <w:tc>
          <w:tcPr>
            <w:tcW w:type="dxa" w:w="2412"/>
          </w:tcPr>
          <w:p>
            <w:r/>
            <w:r>
              <w:rPr>
                <w:b w:val="0"/>
                <w:sz w:val="20"/>
              </w:rPr>
              <w:t>First issue</w:t>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bl>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A8A9E"/>
        <w:sz w:val="16"/>
      </w:rPr>
      <w:t>How to conduct an employee exit interview  ·  template from workflawless.com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